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0D" w:rsidRPr="00770FF0" w:rsidRDefault="00C0490D" w:rsidP="00C0490D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0490D" w:rsidRPr="008B4022" w:rsidRDefault="00C0490D" w:rsidP="00C0490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005/2016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C0490D" w:rsidRPr="00C0490D" w:rsidRDefault="00C0490D" w:rsidP="00C0490D">
      <w:pPr>
        <w:pStyle w:val="SemEspaamento"/>
        <w:jc w:val="both"/>
        <w:rPr>
          <w:sz w:val="18"/>
          <w:szCs w:val="18"/>
        </w:rPr>
      </w:pPr>
      <w:r w:rsidRPr="00C0490D">
        <w:rPr>
          <w:rFonts w:asciiTheme="minorHAnsi" w:hAnsiTheme="minorHAnsi"/>
          <w:sz w:val="18"/>
          <w:szCs w:val="18"/>
        </w:rPr>
        <w:t xml:space="preserve">O Fundo Municipal de Saúde de Ribeirão do Pinhal – Paraná, comunica a quem possa interessar que o processo licitatório </w:t>
      </w:r>
      <w:r w:rsidRPr="00C0490D">
        <w:rPr>
          <w:sz w:val="18"/>
          <w:szCs w:val="18"/>
        </w:rPr>
        <w:t xml:space="preserve">na modalidade </w:t>
      </w:r>
      <w:r w:rsidRPr="00C0490D">
        <w:rPr>
          <w:b/>
          <w:sz w:val="18"/>
          <w:szCs w:val="18"/>
        </w:rPr>
        <w:t>DISPENSA POR LIMITE</w:t>
      </w:r>
      <w:r w:rsidRPr="00C0490D">
        <w:rPr>
          <w:rFonts w:asciiTheme="minorHAnsi" w:hAnsiTheme="minorHAnsi"/>
          <w:sz w:val="18"/>
          <w:szCs w:val="18"/>
        </w:rPr>
        <w:t>, visando</w:t>
      </w:r>
      <w:proofErr w:type="gramStart"/>
      <w:r w:rsidRPr="00C0490D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C0490D">
        <w:rPr>
          <w:rFonts w:asciiTheme="minorHAnsi" w:hAnsiTheme="minorHAnsi"/>
          <w:sz w:val="18"/>
          <w:szCs w:val="18"/>
        </w:rPr>
        <w:t xml:space="preserve">a </w:t>
      </w:r>
      <w:r w:rsidRPr="00C0490D">
        <w:rPr>
          <w:rFonts w:asciiTheme="minorHAnsi" w:hAnsiTheme="minorHAnsi" w:cs="Tahoma"/>
          <w:sz w:val="18"/>
          <w:szCs w:val="18"/>
        </w:rPr>
        <w:t xml:space="preserve">Contratação de Empresa Especializada em Prestação de Serviços, para a Manutenção de Apólice de Seguro para o veículo Fiat Uno </w:t>
      </w:r>
      <w:proofErr w:type="spellStart"/>
      <w:r w:rsidRPr="00C0490D">
        <w:rPr>
          <w:rFonts w:asciiTheme="minorHAnsi" w:hAnsiTheme="minorHAnsi" w:cs="Tahoma"/>
          <w:sz w:val="18"/>
          <w:szCs w:val="18"/>
        </w:rPr>
        <w:t>Vivace</w:t>
      </w:r>
      <w:proofErr w:type="spellEnd"/>
      <w:r w:rsidRPr="00C0490D">
        <w:rPr>
          <w:rFonts w:asciiTheme="minorHAnsi" w:hAnsiTheme="minorHAnsi" w:cs="Tahoma"/>
          <w:sz w:val="18"/>
          <w:szCs w:val="18"/>
        </w:rPr>
        <w:t xml:space="preserve"> 1.0 Placa BAH 2186 do Fundo Municipal de Saúde, com cobertura mínima para 12 (doze) meses, podendo ser prorrogado, nos termos artigo 57, inciso II, da Lei 8666/93, a serem utilizados conforme a necessidade</w:t>
      </w:r>
      <w:r w:rsidRPr="00C0490D">
        <w:rPr>
          <w:rFonts w:asciiTheme="minorHAnsi" w:hAnsiTheme="minorHAnsi"/>
          <w:sz w:val="18"/>
          <w:szCs w:val="18"/>
        </w:rPr>
        <w:t xml:space="preserve">, </w:t>
      </w:r>
      <w:r w:rsidRPr="00C0490D">
        <w:rPr>
          <w:sz w:val="18"/>
          <w:szCs w:val="18"/>
        </w:rPr>
        <w:t>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C0490D" w:rsidRPr="00D25198" w:rsidTr="00306052">
        <w:tc>
          <w:tcPr>
            <w:tcW w:w="587" w:type="dxa"/>
          </w:tcPr>
          <w:p w:rsidR="00C0490D" w:rsidRPr="00D25198" w:rsidRDefault="00C0490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C0490D" w:rsidRPr="00D25198" w:rsidRDefault="00C0490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C0490D" w:rsidRPr="00D25198" w:rsidRDefault="00C0490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C0490D" w:rsidRPr="00D25198" w:rsidRDefault="00C0490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C0490D" w:rsidRPr="00C0490D" w:rsidTr="00306052">
        <w:tc>
          <w:tcPr>
            <w:tcW w:w="587" w:type="dxa"/>
          </w:tcPr>
          <w:p w:rsidR="00C0490D" w:rsidRPr="00C0490D" w:rsidRDefault="00C0490D" w:rsidP="0030605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C0490D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C0490D" w:rsidRPr="00C0490D" w:rsidRDefault="00C0490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490D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1843" w:type="dxa"/>
          </w:tcPr>
          <w:p w:rsidR="00C0490D" w:rsidRPr="00C0490D" w:rsidRDefault="00C0490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0490D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1024" w:type="dxa"/>
          </w:tcPr>
          <w:p w:rsidR="00C0490D" w:rsidRPr="00C0490D" w:rsidRDefault="00C0490D" w:rsidP="00306052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0490D">
              <w:rPr>
                <w:rFonts w:asciiTheme="minorHAnsi" w:hAnsiTheme="minorHAnsi" w:cs="Tahoma"/>
                <w:sz w:val="18"/>
                <w:szCs w:val="18"/>
              </w:rPr>
              <w:t>932,54</w:t>
            </w:r>
          </w:p>
        </w:tc>
      </w:tr>
    </w:tbl>
    <w:p w:rsidR="00C0490D" w:rsidRPr="00A2247F" w:rsidRDefault="00C0490D" w:rsidP="00C0490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de 05/02/16 da senhora </w:t>
      </w:r>
      <w:proofErr w:type="spellStart"/>
      <w:r>
        <w:rPr>
          <w:sz w:val="18"/>
          <w:szCs w:val="18"/>
        </w:rPr>
        <w:t>Delamir</w:t>
      </w:r>
      <w:proofErr w:type="spellEnd"/>
      <w:r>
        <w:rPr>
          <w:sz w:val="18"/>
          <w:szCs w:val="18"/>
        </w:rPr>
        <w:t xml:space="preserve"> de Souza</w:t>
      </w:r>
      <w:r w:rsidRPr="00A81A01">
        <w:rPr>
          <w:sz w:val="18"/>
          <w:szCs w:val="18"/>
        </w:rPr>
        <w:t>.</w:t>
      </w:r>
    </w:p>
    <w:p w:rsidR="00C0490D" w:rsidRPr="00A2247F" w:rsidRDefault="00C0490D" w:rsidP="00C0490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</w:p>
    <w:p w:rsidR="00C0490D" w:rsidRDefault="00C0490D" w:rsidP="00C0490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18/02/20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C0490D" w:rsidRDefault="00C0490D" w:rsidP="00C0490D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NADIR SARA MELLO FRAGA CUNHA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C0490D" w:rsidRPr="00A2247F" w:rsidRDefault="00C0490D" w:rsidP="00C0490D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09/03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C0490D" w:rsidRPr="00DA6346" w:rsidRDefault="00C0490D" w:rsidP="00C0490D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024</w:t>
      </w:r>
      <w:r w:rsidRPr="00A81A01">
        <w:rPr>
          <w:sz w:val="18"/>
          <w:szCs w:val="18"/>
        </w:rPr>
        <w:t xml:space="preserve">/2016 – Vigência: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a </w:t>
      </w:r>
      <w:r>
        <w:rPr>
          <w:sz w:val="18"/>
          <w:szCs w:val="18"/>
        </w:rPr>
        <w:t>18/02/17</w:t>
      </w:r>
      <w:r w:rsidRPr="00DA6346">
        <w:rPr>
          <w:b/>
          <w:sz w:val="18"/>
          <w:szCs w:val="18"/>
        </w:rPr>
        <w:t>.</w:t>
      </w:r>
    </w:p>
    <w:p w:rsidR="00C0490D" w:rsidRPr="002C798F" w:rsidRDefault="00C0490D" w:rsidP="00C0490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C0490D" w:rsidRPr="002C798F" w:rsidRDefault="00C0490D" w:rsidP="00C0490D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PRESIDENTE CPL </w:t>
      </w:r>
      <w:proofErr w:type="spellStart"/>
      <w:r>
        <w:rPr>
          <w:sz w:val="18"/>
          <w:szCs w:val="18"/>
        </w:rPr>
        <w:t>F.M.S.R.P.</w:t>
      </w:r>
      <w:proofErr w:type="spellEnd"/>
    </w:p>
    <w:p w:rsidR="00C0490D" w:rsidRDefault="00C0490D" w:rsidP="00C0490D">
      <w:pPr>
        <w:pStyle w:val="SemEspaamento"/>
        <w:jc w:val="center"/>
        <w:rPr>
          <w:b/>
          <w:sz w:val="24"/>
          <w:szCs w:val="24"/>
          <w:u w:val="single"/>
        </w:rPr>
      </w:pPr>
    </w:p>
    <w:p w:rsidR="00C0490D" w:rsidRPr="007361FB" w:rsidRDefault="00C0490D" w:rsidP="00C0490D">
      <w:pPr>
        <w:pStyle w:val="SemEspaamento"/>
        <w:jc w:val="both"/>
      </w:pPr>
    </w:p>
    <w:p w:rsidR="00C0490D" w:rsidRDefault="00C0490D" w:rsidP="00C0490D"/>
    <w:p w:rsidR="00C0490D" w:rsidRDefault="00C0490D" w:rsidP="00C0490D"/>
    <w:p w:rsidR="00C0490D" w:rsidRDefault="00C0490D" w:rsidP="00C0490D"/>
    <w:p w:rsidR="00EC2246" w:rsidRDefault="00EC2246"/>
    <w:sectPr w:rsidR="00EC2246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C0490D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C0490D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C0490D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DE </w:t>
    </w:r>
    <w:r w:rsidRPr="00437F19">
      <w:rPr>
        <w:rFonts w:ascii="Impact" w:hAnsi="Impact" w:cs="Tahoma"/>
        <w:i w:val="0"/>
        <w:iCs/>
        <w:noProof/>
        <w:sz w:val="30"/>
        <w:szCs w:val="30"/>
      </w:rPr>
      <w:t>RIBEIRÃO DO PINHAL</w:t>
    </w:r>
  </w:p>
  <w:p w:rsidR="003B3D69" w:rsidRPr="00437F19" w:rsidRDefault="00C0490D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C0490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0490D"/>
    <w:rsid w:val="00C0490D"/>
    <w:rsid w:val="00E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490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0490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C0490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C0490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0490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4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049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2016-11-18T11:29:00Z</dcterms:created>
  <dcterms:modified xsi:type="dcterms:W3CDTF">2016-11-18T11:31:00Z</dcterms:modified>
</cp:coreProperties>
</file>